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jc w:val="center"/>
        <w:rPr>
          <w:rFonts w:ascii="BatangChe" w:hAnsi="BatangChe" w:eastAsia="方正小标宋简体" w:cs="Times New Roman"/>
          <w:b w:val="0"/>
          <w:bCs w:val="0"/>
          <w:kern w:val="0"/>
          <w:sz w:val="32"/>
          <w:szCs w:val="32"/>
        </w:rPr>
      </w:pPr>
      <w:r>
        <w:rPr>
          <w:rFonts w:hint="eastAsia" w:ascii="BatangChe" w:hAnsi="BatangChe" w:eastAsia="方正小标宋简体" w:cs="BatangChe"/>
          <w:b w:val="0"/>
          <w:bCs w:val="0"/>
          <w:kern w:val="0"/>
          <w:sz w:val="32"/>
          <w:szCs w:val="32"/>
        </w:rPr>
        <w:t>农业科技报社</w:t>
      </w:r>
      <w:r>
        <w:rPr>
          <w:rFonts w:ascii="BatangChe" w:hAnsi="BatangChe" w:eastAsia="方正小标宋简体" w:cs="BatangChe"/>
          <w:b w:val="0"/>
          <w:bCs w:val="0"/>
          <w:kern w:val="0"/>
          <w:sz w:val="32"/>
          <w:szCs w:val="32"/>
        </w:rPr>
        <w:t>2019</w:t>
      </w:r>
      <w:r>
        <w:rPr>
          <w:rFonts w:hint="eastAsia" w:ascii="BatangChe" w:hAnsi="BatangChe" w:eastAsia="方正小标宋简体" w:cs="方正小标宋简体"/>
          <w:b w:val="0"/>
          <w:bCs w:val="0"/>
          <w:kern w:val="0"/>
          <w:sz w:val="32"/>
          <w:szCs w:val="32"/>
        </w:rPr>
        <w:t>年度（分季）目标责任书</w:t>
      </w:r>
    </w:p>
    <w:p>
      <w:pPr>
        <w:snapToGrid w:val="0"/>
        <w:ind w:firstLine="49" w:firstLineChars="49"/>
        <w:rPr>
          <w:rFonts w:ascii="BatangChe" w:hAnsi="BatangChe" w:eastAsia="楷体_GB2312"/>
          <w:b/>
          <w:bCs/>
          <w:sz w:val="10"/>
          <w:szCs w:val="10"/>
        </w:rPr>
      </w:pPr>
    </w:p>
    <w:p>
      <w:pPr>
        <w:snapToGrid w:val="0"/>
        <w:spacing w:line="300" w:lineRule="auto"/>
        <w:rPr>
          <w:rFonts w:ascii="BatangChe" w:eastAsia="楷体_GB2312"/>
        </w:rPr>
      </w:pPr>
      <w:r>
        <w:rPr>
          <w:rFonts w:hint="eastAsia" w:ascii="BatangChe" w:hAnsi="BatangChe" w:eastAsia="楷体_GB2312" w:cs="楷体_GB2312"/>
          <w:b/>
          <w:bCs/>
        </w:rPr>
        <w:t>责任人：梁孝宏</w:t>
      </w:r>
    </w:p>
    <w:tbl>
      <w:tblPr>
        <w:tblStyle w:val="5"/>
        <w:tblW w:w="93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0"/>
        <w:gridCol w:w="986"/>
        <w:gridCol w:w="7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tblHeader/>
          <w:jc w:val="center"/>
        </w:trPr>
        <w:tc>
          <w:tcPr>
            <w:tcW w:w="1586" w:type="dxa"/>
            <w:gridSpan w:val="2"/>
            <w:tcBorders>
              <w:top w:val="single" w:color="auto" w:sz="12" w:space="0"/>
            </w:tcBorders>
            <w:vAlign w:val="center"/>
          </w:tcPr>
          <w:p>
            <w:pPr>
              <w:snapToGrid w:val="0"/>
              <w:jc w:val="center"/>
              <w:rPr>
                <w:rFonts w:ascii="BatangChe" w:hAnsi="BatangChe" w:eastAsia="黑体"/>
              </w:rPr>
            </w:pPr>
            <w:r>
              <w:rPr>
                <w:rFonts w:hint="eastAsia" w:ascii="BatangChe" w:hAnsi="BatangChe" w:eastAsia="黑体" w:cs="黑体"/>
              </w:rPr>
              <w:t>工作任务</w:t>
            </w:r>
          </w:p>
        </w:tc>
        <w:tc>
          <w:tcPr>
            <w:tcW w:w="7714" w:type="dxa"/>
            <w:tcBorders>
              <w:top w:val="single" w:color="auto" w:sz="12" w:space="0"/>
            </w:tcBorders>
            <w:vAlign w:val="center"/>
          </w:tcPr>
          <w:p>
            <w:pPr>
              <w:snapToGrid w:val="0"/>
              <w:jc w:val="center"/>
              <w:rPr>
                <w:rFonts w:ascii="BatangChe" w:hAnsi="BatangChe" w:eastAsia="黑体"/>
              </w:rPr>
            </w:pPr>
            <w:r>
              <w:rPr>
                <w:rFonts w:hint="eastAsia" w:ascii="BatangChe" w:hAnsi="BatangChe" w:eastAsia="黑体" w:cs="黑体"/>
              </w:rPr>
              <w:t>目标及质量要求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exact"/>
          <w:jc w:val="center"/>
        </w:trPr>
        <w:tc>
          <w:tcPr>
            <w:tcW w:w="1586" w:type="dxa"/>
            <w:gridSpan w:val="2"/>
            <w:vAlign w:val="center"/>
          </w:tcPr>
          <w:p>
            <w:pPr>
              <w:snapToGrid w:val="0"/>
              <w:jc w:val="center"/>
              <w:rPr>
                <w:rFonts w:ascii="BatangChe" w:eastAsia="BatangChe"/>
                <w:b/>
                <w:bCs/>
                <w:sz w:val="21"/>
                <w:szCs w:val="21"/>
              </w:rPr>
            </w:pPr>
            <w:r>
              <w:rPr>
                <w:rFonts w:hint="eastAsia" w:ascii="BatangChe" w:hAnsi="BatangChe" w:cs="宋体"/>
                <w:b/>
                <w:bCs/>
                <w:sz w:val="21"/>
                <w:szCs w:val="21"/>
              </w:rPr>
              <w:t>省考指标</w:t>
            </w:r>
          </w:p>
        </w:tc>
        <w:tc>
          <w:tcPr>
            <w:tcW w:w="7714" w:type="dxa"/>
            <w:vAlign w:val="center"/>
          </w:tcPr>
          <w:p>
            <w:pPr>
              <w:snapToGrid w:val="0"/>
              <w:spacing w:line="440" w:lineRule="exact"/>
              <w:ind w:firstLine="315" w:firstLineChars="150"/>
              <w:rPr>
                <w:rFonts w:ascii="BatangChe" w:eastAsia="BatangChe"/>
                <w:sz w:val="21"/>
                <w:szCs w:val="21"/>
              </w:rPr>
            </w:pPr>
            <w:r>
              <w:rPr>
                <w:rFonts w:hint="eastAsia" w:ascii="BatangChe" w:hAnsi="BatangChe" w:cs="宋体"/>
                <w:sz w:val="21"/>
                <w:szCs w:val="21"/>
              </w:rPr>
              <w:t>待省考目标任务确定后另行分解下达。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62" w:hRule="atLeast"/>
          <w:jc w:val="center"/>
        </w:trPr>
        <w:tc>
          <w:tcPr>
            <w:tcW w:w="600" w:type="dxa"/>
            <w:vMerge w:val="restart"/>
            <w:tcBorders>
              <w:right w:val="single" w:color="auto" w:sz="4" w:space="0"/>
            </w:tcBorders>
            <w:vAlign w:val="center"/>
          </w:tcPr>
          <w:p>
            <w:pPr>
              <w:snapToGrid w:val="0"/>
              <w:jc w:val="center"/>
              <w:rPr>
                <w:rFonts w:ascii="BatangChe" w:eastAsia="BatangChe"/>
                <w:b/>
                <w:bCs/>
                <w:sz w:val="21"/>
                <w:szCs w:val="21"/>
              </w:rPr>
            </w:pPr>
            <w:r>
              <w:rPr>
                <w:rFonts w:hint="eastAsia" w:ascii="BatangChe" w:hAnsi="BatangChe" w:cs="宋体"/>
                <w:b/>
                <w:bCs/>
                <w:sz w:val="21"/>
                <w:szCs w:val="21"/>
              </w:rPr>
              <w:t>省部共建工作成效</w:t>
            </w:r>
          </w:p>
          <w:p>
            <w:pPr>
              <w:snapToGrid w:val="0"/>
              <w:jc w:val="center"/>
              <w:rPr>
                <w:rFonts w:ascii="BatangChe" w:eastAsia="BatangChe"/>
                <w:b/>
                <w:bCs/>
                <w:sz w:val="21"/>
                <w:szCs w:val="21"/>
              </w:rPr>
            </w:pPr>
            <w:r>
              <w:rPr>
                <w:rFonts w:hint="eastAsia" w:ascii="BatangChe" w:hAnsi="BatangChe" w:cs="宋体"/>
                <w:b/>
                <w:bCs/>
                <w:sz w:val="21"/>
                <w:szCs w:val="21"/>
              </w:rPr>
              <w:t>（</w:t>
            </w:r>
            <w:r>
              <w:rPr>
                <w:rFonts w:ascii="BatangChe" w:hAnsi="BatangChe" w:cs="BatangChe"/>
                <w:b/>
                <w:bCs/>
                <w:sz w:val="21"/>
                <w:szCs w:val="21"/>
              </w:rPr>
              <w:t>20</w:t>
            </w:r>
            <w:r>
              <w:rPr>
                <w:rFonts w:hint="eastAsia" w:ascii="BatangChe" w:hAnsi="BatangChe" w:cs="宋体"/>
                <w:b/>
                <w:bCs/>
                <w:sz w:val="21"/>
                <w:szCs w:val="21"/>
              </w:rPr>
              <w:t>分）</w:t>
            </w:r>
          </w:p>
        </w:tc>
        <w:tc>
          <w:tcPr>
            <w:tcW w:w="986" w:type="dxa"/>
            <w:tcBorders>
              <w:left w:val="single" w:color="auto" w:sz="4" w:space="0"/>
            </w:tcBorders>
            <w:vAlign w:val="center"/>
          </w:tcPr>
          <w:p>
            <w:pPr>
              <w:snapToGrid w:val="0"/>
              <w:jc w:val="center"/>
              <w:rPr>
                <w:rFonts w:ascii="BatangChe" w:eastAsia="BatangChe"/>
                <w:b/>
                <w:bCs/>
                <w:sz w:val="21"/>
                <w:szCs w:val="21"/>
              </w:rPr>
            </w:pPr>
            <w:r>
              <w:rPr>
                <w:rFonts w:hint="eastAsia" w:ascii="BatangChe" w:hAnsi="BatangChe" w:cs="宋体"/>
                <w:b/>
                <w:bCs/>
                <w:sz w:val="21"/>
                <w:szCs w:val="21"/>
              </w:rPr>
              <w:t>贯彻落实国务院《批复》</w:t>
            </w:r>
          </w:p>
          <w:p>
            <w:pPr>
              <w:snapToGrid w:val="0"/>
              <w:jc w:val="center"/>
              <w:rPr>
                <w:rFonts w:ascii="BatangChe" w:eastAsia="BatangChe"/>
                <w:b/>
                <w:bCs/>
                <w:sz w:val="21"/>
                <w:szCs w:val="21"/>
              </w:rPr>
            </w:pPr>
            <w:r>
              <w:rPr>
                <w:rFonts w:hint="eastAsia" w:ascii="BatangChe" w:hAnsi="BatangChe" w:cs="宋体"/>
                <w:b/>
                <w:bCs/>
                <w:sz w:val="21"/>
                <w:szCs w:val="21"/>
              </w:rPr>
              <w:t>（</w:t>
            </w:r>
            <w:r>
              <w:rPr>
                <w:rFonts w:ascii="BatangChe" w:hAnsi="BatangChe" w:cs="BatangChe"/>
                <w:b/>
                <w:bCs/>
                <w:sz w:val="21"/>
                <w:szCs w:val="21"/>
              </w:rPr>
              <w:t>10</w:t>
            </w:r>
            <w:r>
              <w:rPr>
                <w:rFonts w:hint="eastAsia" w:ascii="BatangChe" w:hAnsi="BatangChe" w:cs="宋体"/>
                <w:b/>
                <w:bCs/>
                <w:sz w:val="21"/>
                <w:szCs w:val="21"/>
              </w:rPr>
              <w:t>分）</w:t>
            </w:r>
          </w:p>
        </w:tc>
        <w:tc>
          <w:tcPr>
            <w:tcW w:w="7714" w:type="dxa"/>
            <w:vAlign w:val="center"/>
          </w:tcPr>
          <w:p>
            <w:pPr>
              <w:spacing w:line="440" w:lineRule="exact"/>
              <w:ind w:firstLine="422" w:firstLineChars="200"/>
              <w:rPr>
                <w:rFonts w:ascii="宋体" w:hAnsi="宋体" w:cs="宋体"/>
                <w:kern w:val="0"/>
                <w:sz w:val="21"/>
                <w:szCs w:val="21"/>
              </w:rPr>
            </w:pPr>
            <w:r>
              <w:rPr>
                <w:rFonts w:hint="eastAsia" w:ascii="宋体" w:hAnsi="宋体" w:cs="宋体"/>
                <w:b/>
                <w:bCs/>
                <w:kern w:val="0"/>
                <w:sz w:val="21"/>
                <w:szCs w:val="21"/>
              </w:rPr>
              <w:t>第一季度：一是</w:t>
            </w:r>
            <w:r>
              <w:rPr>
                <w:rFonts w:hint="eastAsia" w:ascii="宋体" w:hAnsi="宋体" w:cs="宋体"/>
                <w:kern w:val="0"/>
                <w:sz w:val="21"/>
                <w:szCs w:val="21"/>
              </w:rPr>
              <w:t>继续加大国务院《批复》宣传力度，围绕《批复》中提出的“三区三高地”目标，分别策划6篇系列报道，在杨凌时讯、杨凌发布等多媒体宣传平台分别刊发（4分）。二是在杨凌时讯、杨凌发布新媒体等平台刊登国务院《批复》系列专题辅导报告和相关解读文章不少于6篇（3分）。三是开设“学习贯彻国务院《批复》大家谈”栏目，刊登示范区各相关部门的认识、思路和工作举措等相关稿件不少于15篇。连续刊登“学习国务院《批复》30问”，帮助读者深入理解《批复》精神（3分）。</w:t>
            </w:r>
          </w:p>
          <w:p>
            <w:pPr>
              <w:spacing w:line="440" w:lineRule="exact"/>
              <w:ind w:firstLine="422" w:firstLineChars="200"/>
              <w:rPr>
                <w:rFonts w:ascii="宋体" w:hAnsi="宋体" w:cs="宋体"/>
                <w:b/>
                <w:bCs/>
                <w:kern w:val="0"/>
                <w:sz w:val="21"/>
                <w:szCs w:val="21"/>
              </w:rPr>
            </w:pPr>
            <w:r>
              <w:rPr>
                <w:rFonts w:hint="eastAsia" w:ascii="宋体" w:hAnsi="宋体" w:cs="宋体"/>
                <w:b/>
                <w:bCs/>
                <w:kern w:val="0"/>
                <w:sz w:val="21"/>
                <w:szCs w:val="21"/>
              </w:rPr>
              <w:t>第二季度：</w:t>
            </w:r>
            <w:r>
              <w:rPr>
                <w:rFonts w:hint="eastAsia" w:ascii="宋体" w:hAnsi="宋体" w:cs="宋体"/>
                <w:bCs/>
                <w:kern w:val="0"/>
                <w:sz w:val="21"/>
                <w:szCs w:val="21"/>
              </w:rPr>
              <w:t>一是</w:t>
            </w:r>
            <w:r>
              <w:rPr>
                <w:rFonts w:hint="eastAsia" w:ascii="宋体" w:hAnsi="宋体" w:cs="宋体"/>
                <w:kern w:val="0"/>
                <w:sz w:val="21"/>
                <w:szCs w:val="21"/>
              </w:rPr>
              <w:t>围绕国务院《批复》中关于农业科技创新、涉农改革、金融改革等方面支持事项，策划报道选题，挖掘典型事例，采写编发相关稿件不少于6篇（6分）；二是围绕杨凌履行国家使命方面的重点工作，采写编发相关报道不少于8篇（4分）。</w:t>
            </w:r>
          </w:p>
          <w:p>
            <w:pPr>
              <w:spacing w:line="440" w:lineRule="exact"/>
              <w:ind w:firstLine="422" w:firstLineChars="200"/>
              <w:rPr>
                <w:rFonts w:ascii="宋体" w:hAnsi="宋体" w:cs="宋体"/>
                <w:b/>
                <w:bCs/>
                <w:kern w:val="0"/>
                <w:sz w:val="21"/>
                <w:szCs w:val="21"/>
              </w:rPr>
            </w:pPr>
            <w:r>
              <w:rPr>
                <w:rFonts w:hint="eastAsia" w:ascii="宋体" w:hAnsi="宋体" w:cs="宋体"/>
                <w:b/>
                <w:bCs/>
                <w:kern w:val="0"/>
                <w:sz w:val="21"/>
                <w:szCs w:val="21"/>
              </w:rPr>
              <w:t>第三季度：</w:t>
            </w:r>
            <w:r>
              <w:rPr>
                <w:rFonts w:hint="eastAsia" w:ascii="宋体" w:hAnsi="宋体" w:cs="宋体"/>
                <w:bCs/>
                <w:kern w:val="0"/>
                <w:sz w:val="21"/>
                <w:szCs w:val="21"/>
              </w:rPr>
              <w:t>一是</w:t>
            </w:r>
            <w:r>
              <w:rPr>
                <w:rFonts w:hint="eastAsia" w:ascii="宋体" w:hAnsi="宋体" w:cs="宋体"/>
                <w:kern w:val="0"/>
                <w:sz w:val="21"/>
                <w:szCs w:val="21"/>
              </w:rPr>
              <w:t>围绕国务院《批复》中关于实施乡村振兴战略、扩大农业对外开放等方面支持事项，策划选题，深入报道杨凌在贯彻落实工作中的亮点、特色和做法，采写编发相关报道不少于5篇（4分）；二是针对示范区开展的“十大攻坚行动”挖掘报道选题，采写编发相关稿件6篇（3分）；三是围绕杨凌履行国家使命方面的重点工作，做好重大主题报道，采写编发相关报道不少于8篇（3分）。</w:t>
            </w:r>
          </w:p>
          <w:p>
            <w:pPr>
              <w:spacing w:line="440" w:lineRule="exact"/>
              <w:ind w:firstLine="422" w:firstLineChars="200"/>
              <w:rPr>
                <w:rFonts w:ascii="BatangChe" w:eastAsia="BatangChe"/>
                <w:sz w:val="21"/>
                <w:szCs w:val="21"/>
              </w:rPr>
            </w:pPr>
            <w:r>
              <w:rPr>
                <w:rFonts w:hint="eastAsia" w:ascii="宋体" w:hAnsi="宋体" w:cs="宋体"/>
                <w:b/>
                <w:bCs/>
                <w:kern w:val="0"/>
                <w:sz w:val="21"/>
                <w:szCs w:val="21"/>
              </w:rPr>
              <w:t>第四季度：</w:t>
            </w:r>
            <w:r>
              <w:rPr>
                <w:rFonts w:hint="eastAsia" w:ascii="宋体" w:hAnsi="宋体" w:cs="宋体"/>
                <w:bCs/>
                <w:kern w:val="0"/>
                <w:sz w:val="21"/>
                <w:szCs w:val="21"/>
              </w:rPr>
              <w:t>一是</w:t>
            </w:r>
            <w:r>
              <w:rPr>
                <w:rFonts w:hint="eastAsia" w:ascii="宋体" w:hAnsi="宋体" w:cs="宋体"/>
                <w:kern w:val="0"/>
                <w:sz w:val="21"/>
                <w:szCs w:val="21"/>
              </w:rPr>
              <w:t>围绕贯彻国务院《批复》所推进的“十大攻坚行动”，挖掘线索，策划选题，深入报道“十大攻坚行动”实施以来取得的成效，采写编发相关报道6篇（4分）；二是围绕杨凌履行国家使命方面的重点工作，采写编发相关报道不少于6篇（3分）；三是</w:t>
            </w:r>
            <w:r>
              <w:rPr>
                <w:rFonts w:hint="eastAsia" w:ascii="新宋体" w:hAnsi="新宋体" w:eastAsia="新宋体" w:cs="宋体"/>
                <w:color w:val="000000"/>
                <w:kern w:val="0"/>
                <w:sz w:val="21"/>
                <w:szCs w:val="21"/>
              </w:rPr>
              <w:t>组织策划第26届杨凌农高会嘉宾视频访谈节目不少于8期</w:t>
            </w:r>
            <w:r>
              <w:rPr>
                <w:rFonts w:hint="eastAsia" w:ascii="宋体" w:hAnsi="宋体" w:cs="宋体"/>
                <w:kern w:val="0"/>
                <w:sz w:val="21"/>
                <w:szCs w:val="21"/>
              </w:rPr>
              <w:t>（3分）</w:t>
            </w:r>
            <w:r>
              <w:rPr>
                <w:rFonts w:hint="eastAsia" w:ascii="新宋体" w:hAnsi="新宋体" w:eastAsia="新宋体" w:cs="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600" w:type="dxa"/>
            <w:vMerge w:val="continue"/>
            <w:tcBorders>
              <w:right w:val="single" w:color="auto" w:sz="4" w:space="0"/>
            </w:tcBorders>
            <w:vAlign w:val="center"/>
          </w:tcPr>
          <w:p>
            <w:pPr>
              <w:snapToGrid w:val="0"/>
              <w:jc w:val="center"/>
              <w:rPr>
                <w:rFonts w:ascii="BatangChe" w:eastAsia="BatangChe"/>
                <w:b/>
                <w:bCs/>
                <w:sz w:val="21"/>
                <w:szCs w:val="21"/>
              </w:rPr>
            </w:pPr>
          </w:p>
        </w:tc>
        <w:tc>
          <w:tcPr>
            <w:tcW w:w="986" w:type="dxa"/>
            <w:tcBorders>
              <w:left w:val="single" w:color="auto" w:sz="4" w:space="0"/>
            </w:tcBorders>
            <w:vAlign w:val="center"/>
          </w:tcPr>
          <w:p>
            <w:pPr>
              <w:snapToGrid w:val="0"/>
              <w:jc w:val="center"/>
              <w:rPr>
                <w:rFonts w:ascii="BatangChe" w:eastAsia="BatangChe"/>
                <w:b/>
                <w:bCs/>
                <w:sz w:val="21"/>
                <w:szCs w:val="21"/>
              </w:rPr>
            </w:pPr>
            <w:r>
              <w:rPr>
                <w:rFonts w:hint="eastAsia" w:ascii="宋体" w:hAnsi="宋体" w:cs="宋体"/>
                <w:b/>
                <w:bCs/>
                <w:sz w:val="21"/>
                <w:szCs w:val="21"/>
              </w:rPr>
              <w:t>争取中省资金（</w:t>
            </w:r>
            <w:r>
              <w:rPr>
                <w:rFonts w:ascii="宋体" w:hAnsi="宋体" w:cs="宋体"/>
                <w:b/>
                <w:bCs/>
                <w:sz w:val="21"/>
                <w:szCs w:val="21"/>
              </w:rPr>
              <w:t>10</w:t>
            </w:r>
            <w:r>
              <w:rPr>
                <w:rFonts w:hint="eastAsia" w:ascii="宋体" w:hAnsi="宋体" w:cs="宋体"/>
                <w:b/>
                <w:bCs/>
                <w:sz w:val="21"/>
                <w:szCs w:val="21"/>
              </w:rPr>
              <w:t>分）</w:t>
            </w:r>
          </w:p>
        </w:tc>
        <w:tc>
          <w:tcPr>
            <w:tcW w:w="7714" w:type="dxa"/>
            <w:vAlign w:val="center"/>
          </w:tcPr>
          <w:p>
            <w:pPr>
              <w:snapToGrid w:val="0"/>
              <w:spacing w:line="440" w:lineRule="exact"/>
              <w:jc w:val="left"/>
              <w:rPr>
                <w:rFonts w:ascii="BatangChe" w:eastAsia="BatangChe"/>
                <w:sz w:val="21"/>
                <w:szCs w:val="21"/>
              </w:rPr>
            </w:pPr>
            <w:r>
              <w:rPr>
                <w:rFonts w:hint="eastAsia" w:ascii="BatangChe" w:hAnsi="BatangChe" w:cs="宋体"/>
                <w:color w:val="FF0000"/>
                <w:sz w:val="21"/>
                <w:szCs w:val="21"/>
              </w:rPr>
              <w:t>竞争性专项：第一季度、二季度、三季度、四季度分别为10万元、20万元、30万元、40万元。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4" w:hRule="atLeast"/>
          <w:jc w:val="center"/>
        </w:trPr>
        <w:tc>
          <w:tcPr>
            <w:tcW w:w="1586" w:type="dxa"/>
            <w:gridSpan w:val="2"/>
            <w:vAlign w:val="center"/>
          </w:tcPr>
          <w:p>
            <w:pPr>
              <w:snapToGrid w:val="0"/>
              <w:jc w:val="center"/>
              <w:rPr>
                <w:rFonts w:ascii="BatangChe" w:eastAsia="BatangChe"/>
                <w:b/>
                <w:bCs/>
                <w:sz w:val="21"/>
                <w:szCs w:val="21"/>
              </w:rPr>
            </w:pPr>
            <w:r>
              <w:rPr>
                <w:rFonts w:hint="eastAsia" w:ascii="BatangChe" w:hAnsi="BatangChe" w:cs="宋体"/>
                <w:b/>
                <w:bCs/>
                <w:sz w:val="21"/>
                <w:szCs w:val="21"/>
              </w:rPr>
              <w:t>招商引资</w:t>
            </w:r>
          </w:p>
          <w:p>
            <w:pPr>
              <w:snapToGrid w:val="0"/>
              <w:jc w:val="center"/>
              <w:rPr>
                <w:rFonts w:ascii="BatangChe" w:eastAsia="BatangChe"/>
                <w:b/>
                <w:bCs/>
                <w:sz w:val="21"/>
                <w:szCs w:val="21"/>
              </w:rPr>
            </w:pPr>
            <w:r>
              <w:rPr>
                <w:rFonts w:hint="eastAsia" w:ascii="BatangChe" w:hAnsi="BatangChe" w:cs="宋体"/>
                <w:b/>
                <w:bCs/>
                <w:sz w:val="21"/>
                <w:szCs w:val="21"/>
              </w:rPr>
              <w:t>到位资金</w:t>
            </w:r>
          </w:p>
          <w:p>
            <w:pPr>
              <w:snapToGrid w:val="0"/>
              <w:jc w:val="center"/>
              <w:rPr>
                <w:rFonts w:ascii="BatangChe" w:eastAsia="BatangChe"/>
                <w:b/>
                <w:bCs/>
                <w:sz w:val="21"/>
                <w:szCs w:val="21"/>
              </w:rPr>
            </w:pPr>
            <w:r>
              <w:rPr>
                <w:rFonts w:hint="eastAsia" w:ascii="BatangChe" w:hAnsi="BatangChe" w:cs="宋体"/>
                <w:b/>
                <w:bCs/>
                <w:sz w:val="21"/>
                <w:szCs w:val="21"/>
              </w:rPr>
              <w:t>（</w:t>
            </w:r>
            <w:r>
              <w:rPr>
                <w:rFonts w:ascii="BatangChe" w:hAnsi="BatangChe" w:cs="BatangChe"/>
                <w:b/>
                <w:bCs/>
                <w:sz w:val="21"/>
                <w:szCs w:val="21"/>
              </w:rPr>
              <w:t>8</w:t>
            </w:r>
            <w:r>
              <w:rPr>
                <w:rFonts w:hint="eastAsia" w:ascii="BatangChe" w:hAnsi="BatangChe" w:cs="宋体"/>
                <w:b/>
                <w:bCs/>
                <w:sz w:val="21"/>
                <w:szCs w:val="21"/>
              </w:rPr>
              <w:t>分）</w:t>
            </w:r>
          </w:p>
        </w:tc>
        <w:tc>
          <w:tcPr>
            <w:tcW w:w="7714" w:type="dxa"/>
            <w:vAlign w:val="center"/>
          </w:tcPr>
          <w:p>
            <w:pPr>
              <w:spacing w:line="440" w:lineRule="exact"/>
              <w:jc w:val="left"/>
              <w:rPr>
                <w:rFonts w:ascii="BatangChe" w:eastAsia="BatangChe"/>
                <w:sz w:val="21"/>
                <w:szCs w:val="21"/>
              </w:rPr>
            </w:pPr>
            <w:r>
              <w:rPr>
                <w:rFonts w:hint="eastAsia" w:ascii="仿宋" w:hAnsi="仿宋" w:eastAsia="仿宋" w:cs="仿宋"/>
                <w:color w:val="FF0000"/>
                <w:sz w:val="21"/>
                <w:szCs w:val="21"/>
              </w:rPr>
              <w:t>招商引资实际到位资金分别为 400万元、600万元、500万元、500万元。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28" w:hRule="exact"/>
          <w:jc w:val="center"/>
        </w:trPr>
        <w:tc>
          <w:tcPr>
            <w:tcW w:w="1586" w:type="dxa"/>
            <w:gridSpan w:val="2"/>
            <w:vAlign w:val="center"/>
          </w:tcPr>
          <w:p>
            <w:pPr>
              <w:snapToGrid w:val="0"/>
              <w:jc w:val="center"/>
              <w:rPr>
                <w:rFonts w:ascii="BatangChe" w:hAnsi="BatangChe" w:cs="宋体"/>
                <w:b/>
                <w:bCs/>
                <w:sz w:val="21"/>
                <w:szCs w:val="21"/>
              </w:rPr>
            </w:pPr>
            <w:r>
              <w:rPr>
                <w:rFonts w:hint="eastAsia" w:ascii="BatangChe" w:hAnsi="BatangChe" w:cs="宋体"/>
                <w:b/>
                <w:bCs/>
                <w:sz w:val="21"/>
                <w:szCs w:val="21"/>
              </w:rPr>
              <w:t>宣传工作</w:t>
            </w:r>
          </w:p>
          <w:p>
            <w:pPr>
              <w:snapToGrid w:val="0"/>
              <w:jc w:val="center"/>
              <w:rPr>
                <w:rFonts w:ascii="BatangChe" w:hAnsi="BatangChe" w:cs="宋体"/>
                <w:b/>
                <w:bCs/>
                <w:sz w:val="21"/>
                <w:szCs w:val="21"/>
              </w:rPr>
            </w:pPr>
            <w:r>
              <w:rPr>
                <w:rFonts w:hint="eastAsia" w:ascii="BatangChe" w:hAnsi="BatangChe" w:cs="宋体"/>
                <w:b/>
                <w:bCs/>
                <w:sz w:val="21"/>
                <w:szCs w:val="21"/>
              </w:rPr>
              <w:t>重点任务</w:t>
            </w:r>
          </w:p>
          <w:p>
            <w:pPr>
              <w:snapToGrid w:val="0"/>
              <w:jc w:val="center"/>
              <w:rPr>
                <w:rFonts w:ascii="BatangChe" w:eastAsia="BatangChe"/>
                <w:b/>
                <w:bCs/>
                <w:sz w:val="21"/>
                <w:szCs w:val="21"/>
              </w:rPr>
            </w:pPr>
            <w:r>
              <w:rPr>
                <w:rFonts w:hint="eastAsia" w:ascii="BatangChe" w:hAnsi="BatangChe" w:cs="宋体"/>
                <w:b/>
                <w:bCs/>
                <w:sz w:val="21"/>
                <w:szCs w:val="21"/>
              </w:rPr>
              <w:t>（</w:t>
            </w:r>
            <w:r>
              <w:rPr>
                <w:rFonts w:hint="eastAsia" w:ascii="BatangChe" w:hAnsi="BatangChe" w:cs="BatangChe"/>
                <w:b/>
                <w:bCs/>
                <w:sz w:val="21"/>
                <w:szCs w:val="21"/>
              </w:rPr>
              <w:t>3</w:t>
            </w:r>
            <w:r>
              <w:rPr>
                <w:rFonts w:hint="eastAsia" w:ascii="BatangChe" w:hAnsi="BatangChe" w:cs="BatangChe"/>
                <w:b/>
                <w:bCs/>
                <w:sz w:val="21"/>
                <w:szCs w:val="21"/>
                <w:lang w:val="en-US" w:eastAsia="zh-CN"/>
              </w:rPr>
              <w:t>7</w:t>
            </w:r>
            <w:r>
              <w:rPr>
                <w:rFonts w:hint="eastAsia" w:ascii="BatangChe" w:hAnsi="BatangChe" w:cs="宋体"/>
                <w:b/>
                <w:bCs/>
                <w:sz w:val="21"/>
                <w:szCs w:val="21"/>
              </w:rPr>
              <w:t>分）</w:t>
            </w:r>
          </w:p>
        </w:tc>
        <w:tc>
          <w:tcPr>
            <w:tcW w:w="7714" w:type="dxa"/>
            <w:vAlign w:val="center"/>
          </w:tcPr>
          <w:p>
            <w:pPr>
              <w:spacing w:line="280" w:lineRule="exact"/>
              <w:ind w:firstLine="422" w:firstLineChars="200"/>
              <w:rPr>
                <w:rFonts w:ascii="宋体" w:hAnsi="宋体" w:cs="宋体"/>
                <w:kern w:val="0"/>
                <w:sz w:val="21"/>
                <w:szCs w:val="21"/>
              </w:rPr>
            </w:pPr>
            <w:r>
              <w:rPr>
                <w:rFonts w:hint="eastAsia" w:ascii="宋体" w:hAnsi="宋体" w:cs="宋体"/>
                <w:b/>
                <w:bCs/>
                <w:kern w:val="0"/>
                <w:sz w:val="21"/>
                <w:szCs w:val="21"/>
              </w:rPr>
              <w:t>一季度（共3</w:t>
            </w:r>
            <w:r>
              <w:rPr>
                <w:rFonts w:hint="eastAsia" w:ascii="宋体" w:hAnsi="宋体" w:cs="宋体"/>
                <w:b/>
                <w:bCs/>
                <w:kern w:val="0"/>
                <w:sz w:val="21"/>
                <w:szCs w:val="21"/>
                <w:lang w:val="en-US" w:eastAsia="zh-CN"/>
              </w:rPr>
              <w:t>7</w:t>
            </w:r>
            <w:r>
              <w:rPr>
                <w:rFonts w:hint="eastAsia" w:ascii="宋体" w:hAnsi="宋体" w:cs="宋体"/>
                <w:b/>
                <w:bCs/>
                <w:kern w:val="0"/>
                <w:sz w:val="21"/>
                <w:szCs w:val="21"/>
              </w:rPr>
              <w:t>分）</w:t>
            </w:r>
            <w:r>
              <w:rPr>
                <w:rFonts w:hint="eastAsia" w:ascii="宋体" w:hAnsi="宋体" w:cs="宋体"/>
                <w:kern w:val="0"/>
                <w:sz w:val="21"/>
                <w:szCs w:val="21"/>
              </w:rPr>
              <w:t>：一是在《农业科技报》</w:t>
            </w:r>
            <w:r>
              <w:rPr>
                <w:rFonts w:ascii="宋体" w:hAnsi="宋体" w:cs="宋体"/>
                <w:kern w:val="0"/>
                <w:sz w:val="21"/>
                <w:szCs w:val="21"/>
              </w:rPr>
              <w:t>开设</w:t>
            </w:r>
            <w:r>
              <w:rPr>
                <w:rFonts w:hint="eastAsia" w:ascii="宋体" w:hAnsi="宋体" w:cs="宋体"/>
                <w:kern w:val="0"/>
                <w:sz w:val="21"/>
                <w:szCs w:val="21"/>
              </w:rPr>
              <w:t>“聚焦杨凌”</w:t>
            </w:r>
            <w:r>
              <w:rPr>
                <w:rFonts w:ascii="宋体" w:hAnsi="宋体" w:cs="宋体"/>
                <w:kern w:val="0"/>
                <w:sz w:val="21"/>
                <w:szCs w:val="21"/>
              </w:rPr>
              <w:t>专题</w:t>
            </w:r>
            <w:r>
              <w:rPr>
                <w:rFonts w:hint="eastAsia" w:ascii="宋体" w:hAnsi="宋体" w:cs="宋体"/>
                <w:kern w:val="0"/>
                <w:sz w:val="21"/>
                <w:szCs w:val="21"/>
              </w:rPr>
              <w:t>6期</w:t>
            </w:r>
            <w:r>
              <w:rPr>
                <w:rFonts w:ascii="宋体" w:hAnsi="宋体" w:cs="宋体"/>
                <w:kern w:val="0"/>
                <w:sz w:val="21"/>
                <w:szCs w:val="21"/>
              </w:rPr>
              <w:t>，</w:t>
            </w:r>
            <w:r>
              <w:rPr>
                <w:rFonts w:hint="eastAsia" w:ascii="宋体" w:hAnsi="宋体" w:cs="宋体"/>
                <w:kern w:val="0"/>
                <w:sz w:val="21"/>
                <w:szCs w:val="21"/>
              </w:rPr>
              <w:t>重点报道杨凌在科技创新、示范推广、职业农民培训、现代农业发展等方面的</w:t>
            </w:r>
            <w:r>
              <w:rPr>
                <w:rFonts w:ascii="宋体" w:hAnsi="宋体" w:cs="宋体"/>
                <w:kern w:val="0"/>
                <w:sz w:val="21"/>
                <w:szCs w:val="21"/>
              </w:rPr>
              <w:t>典型做法</w:t>
            </w:r>
            <w:r>
              <w:rPr>
                <w:rFonts w:hint="eastAsia" w:ascii="宋体" w:hAnsi="宋体" w:cs="宋体"/>
                <w:kern w:val="0"/>
                <w:sz w:val="21"/>
                <w:szCs w:val="21"/>
              </w:rPr>
              <w:t>和取得的成效（</w:t>
            </w:r>
            <w:r>
              <w:rPr>
                <w:rFonts w:hint="eastAsia" w:ascii="宋体" w:hAnsi="宋体" w:cs="宋体"/>
                <w:kern w:val="0"/>
                <w:sz w:val="21"/>
                <w:szCs w:val="21"/>
                <w:lang w:val="en-US" w:eastAsia="zh-CN"/>
              </w:rPr>
              <w:t>7</w:t>
            </w:r>
            <w:r>
              <w:rPr>
                <w:rFonts w:hint="eastAsia" w:ascii="宋体" w:hAnsi="宋体" w:cs="宋体"/>
                <w:kern w:val="0"/>
                <w:sz w:val="21"/>
                <w:szCs w:val="21"/>
              </w:rPr>
              <w:t>分）；二是坚持“走转改”，践行“三贴近”，在报纸、网站开设“农科记者新春走基层”栏目，采写编发</w:t>
            </w:r>
            <w:r>
              <w:rPr>
                <w:rFonts w:ascii="宋体" w:hAnsi="宋体" w:cs="宋体"/>
                <w:kern w:val="0"/>
                <w:sz w:val="21"/>
                <w:szCs w:val="21"/>
              </w:rPr>
              <w:t>相关报道</w:t>
            </w:r>
            <w:r>
              <w:rPr>
                <w:rFonts w:hint="eastAsia" w:ascii="宋体" w:hAnsi="宋体" w:cs="宋体"/>
                <w:kern w:val="0"/>
                <w:sz w:val="21"/>
                <w:szCs w:val="21"/>
              </w:rPr>
              <w:t>不少于15篇</w:t>
            </w:r>
            <w:r>
              <w:rPr>
                <w:rFonts w:ascii="宋体" w:hAnsi="宋体" w:cs="宋体"/>
                <w:kern w:val="0"/>
                <w:sz w:val="21"/>
                <w:szCs w:val="21"/>
              </w:rPr>
              <w:t>（</w:t>
            </w:r>
            <w:r>
              <w:rPr>
                <w:rFonts w:hint="eastAsia" w:ascii="宋体" w:hAnsi="宋体" w:cs="宋体"/>
                <w:kern w:val="0"/>
                <w:sz w:val="21"/>
                <w:szCs w:val="21"/>
                <w:lang w:val="en-US" w:eastAsia="zh-CN"/>
              </w:rPr>
              <w:t>7</w:t>
            </w:r>
            <w:r>
              <w:rPr>
                <w:rFonts w:hint="eastAsia" w:ascii="宋体" w:hAnsi="宋体" w:cs="宋体"/>
                <w:kern w:val="0"/>
                <w:sz w:val="21"/>
                <w:szCs w:val="21"/>
              </w:rPr>
              <w:t>分</w:t>
            </w:r>
            <w:r>
              <w:rPr>
                <w:rFonts w:ascii="宋体" w:hAnsi="宋体" w:cs="宋体"/>
                <w:kern w:val="0"/>
                <w:sz w:val="21"/>
                <w:szCs w:val="21"/>
              </w:rPr>
              <w:t>）</w:t>
            </w:r>
            <w:r>
              <w:rPr>
                <w:rFonts w:hint="eastAsia" w:ascii="宋体" w:hAnsi="宋体" w:cs="宋体"/>
                <w:kern w:val="0"/>
                <w:sz w:val="21"/>
                <w:szCs w:val="21"/>
              </w:rPr>
              <w:t>；三是围绕2019年中央一号文件、全国两会开设栏目、专题进行集中宣传、解读和重点报道，</w:t>
            </w:r>
            <w:r>
              <w:rPr>
                <w:rFonts w:ascii="宋体" w:hAnsi="宋体" w:cs="宋体"/>
                <w:kern w:val="0"/>
                <w:sz w:val="21"/>
                <w:szCs w:val="21"/>
              </w:rPr>
              <w:t>编发相关稿件不少于</w:t>
            </w:r>
            <w:r>
              <w:rPr>
                <w:rFonts w:hint="eastAsia" w:ascii="宋体" w:hAnsi="宋体" w:cs="宋体"/>
                <w:kern w:val="0"/>
                <w:sz w:val="21"/>
                <w:szCs w:val="21"/>
              </w:rPr>
              <w:t>20篇（</w:t>
            </w:r>
            <w:r>
              <w:rPr>
                <w:rFonts w:hint="eastAsia" w:ascii="宋体" w:hAnsi="宋体" w:cs="宋体"/>
                <w:kern w:val="0"/>
                <w:sz w:val="21"/>
                <w:szCs w:val="21"/>
                <w:lang w:val="en-US" w:eastAsia="zh-CN"/>
              </w:rPr>
              <w:t>6</w:t>
            </w:r>
            <w:r>
              <w:rPr>
                <w:rFonts w:hint="eastAsia" w:ascii="宋体" w:hAnsi="宋体" w:cs="宋体"/>
                <w:kern w:val="0"/>
                <w:sz w:val="21"/>
                <w:szCs w:val="21"/>
              </w:rPr>
              <w:t>分）；四是围绕农高会春季分会暨第十一届西部（杨凌）农资苗木交易会、示范区2019年工作会议开设栏目、专题进行宣传报道，</w:t>
            </w:r>
            <w:r>
              <w:rPr>
                <w:rFonts w:ascii="宋体" w:hAnsi="宋体" w:cs="宋体"/>
                <w:kern w:val="0"/>
                <w:sz w:val="21"/>
                <w:szCs w:val="21"/>
              </w:rPr>
              <w:t>采写编发相关稿件不少于</w:t>
            </w:r>
            <w:r>
              <w:rPr>
                <w:rFonts w:hint="eastAsia" w:ascii="宋体" w:hAnsi="宋体" w:cs="宋体"/>
                <w:kern w:val="0"/>
                <w:sz w:val="21"/>
                <w:szCs w:val="21"/>
              </w:rPr>
              <w:t>10篇（4分）；五是组织策划拍摄完成农业科教片5期（</w:t>
            </w:r>
            <w:r>
              <w:rPr>
                <w:rFonts w:hint="eastAsia" w:ascii="宋体" w:hAnsi="宋体" w:cs="宋体"/>
                <w:kern w:val="0"/>
                <w:sz w:val="21"/>
                <w:szCs w:val="21"/>
                <w:lang w:val="en-US" w:eastAsia="zh-CN"/>
              </w:rPr>
              <w:t>5</w:t>
            </w:r>
            <w:r>
              <w:rPr>
                <w:rFonts w:hint="eastAsia" w:ascii="宋体" w:hAnsi="宋体" w:cs="宋体"/>
                <w:kern w:val="0"/>
                <w:sz w:val="21"/>
                <w:szCs w:val="21"/>
              </w:rPr>
              <w:t>分）；六是在省级以上媒体发稿3篇（3分）；七是编发杨凌信息稿件15篇以上（</w:t>
            </w:r>
            <w:r>
              <w:rPr>
                <w:rFonts w:hint="eastAsia" w:ascii="宋体" w:hAnsi="宋体" w:cs="宋体"/>
                <w:kern w:val="0"/>
                <w:sz w:val="21"/>
                <w:szCs w:val="21"/>
                <w:lang w:val="en-US" w:eastAsia="zh-CN"/>
              </w:rPr>
              <w:t>5</w:t>
            </w:r>
            <w:r>
              <w:rPr>
                <w:rFonts w:hint="eastAsia" w:ascii="宋体" w:hAnsi="宋体" w:cs="宋体"/>
                <w:kern w:val="0"/>
                <w:sz w:val="21"/>
                <w:szCs w:val="21"/>
              </w:rPr>
              <w:t>分）。</w:t>
            </w:r>
          </w:p>
          <w:p>
            <w:pPr>
              <w:spacing w:line="280" w:lineRule="exact"/>
              <w:ind w:firstLine="422" w:firstLineChars="200"/>
              <w:rPr>
                <w:rFonts w:ascii="宋体" w:hAnsi="宋体" w:cs="宋体"/>
                <w:kern w:val="0"/>
                <w:sz w:val="21"/>
                <w:szCs w:val="21"/>
              </w:rPr>
            </w:pPr>
            <w:r>
              <w:rPr>
                <w:rFonts w:hint="eastAsia" w:ascii="宋体" w:hAnsi="宋体" w:cs="宋体"/>
                <w:b/>
                <w:bCs/>
                <w:kern w:val="0"/>
                <w:sz w:val="21"/>
                <w:szCs w:val="21"/>
              </w:rPr>
              <w:t>二季度（共3</w:t>
            </w:r>
            <w:r>
              <w:rPr>
                <w:rFonts w:hint="eastAsia" w:ascii="宋体" w:hAnsi="宋体" w:cs="宋体"/>
                <w:b/>
                <w:bCs/>
                <w:kern w:val="0"/>
                <w:sz w:val="21"/>
                <w:szCs w:val="21"/>
                <w:lang w:val="en-US" w:eastAsia="zh-CN"/>
              </w:rPr>
              <w:t>7</w:t>
            </w:r>
            <w:r>
              <w:rPr>
                <w:rFonts w:hint="eastAsia" w:ascii="宋体" w:hAnsi="宋体" w:cs="宋体"/>
                <w:b/>
                <w:bCs/>
                <w:kern w:val="0"/>
                <w:sz w:val="21"/>
                <w:szCs w:val="21"/>
              </w:rPr>
              <w:t>分）</w:t>
            </w:r>
            <w:r>
              <w:rPr>
                <w:rFonts w:hint="eastAsia" w:ascii="宋体" w:hAnsi="宋体" w:cs="宋体"/>
                <w:kern w:val="0"/>
                <w:sz w:val="21"/>
                <w:szCs w:val="21"/>
              </w:rPr>
              <w:t>：一是注册开通“农科杨凌”微信公众账号，围绕杨凌科技、农科专家、职业农民等方面的内容，策划选题报道，采写编发相关报道不少于10篇（</w:t>
            </w:r>
            <w:r>
              <w:rPr>
                <w:rFonts w:hint="eastAsia" w:ascii="宋体" w:hAnsi="宋体" w:cs="宋体"/>
                <w:kern w:val="0"/>
                <w:sz w:val="21"/>
                <w:szCs w:val="21"/>
                <w:lang w:val="en-US" w:eastAsia="zh-CN"/>
              </w:rPr>
              <w:t>7</w:t>
            </w:r>
            <w:r>
              <w:rPr>
                <w:rFonts w:hint="eastAsia" w:ascii="宋体" w:hAnsi="宋体" w:cs="宋体"/>
                <w:kern w:val="0"/>
                <w:sz w:val="21"/>
                <w:szCs w:val="21"/>
              </w:rPr>
              <w:t>分）；二是在《农业科技报》</w:t>
            </w:r>
            <w:r>
              <w:rPr>
                <w:rFonts w:ascii="宋体" w:hAnsi="宋体" w:cs="宋体"/>
                <w:kern w:val="0"/>
                <w:sz w:val="21"/>
                <w:szCs w:val="21"/>
              </w:rPr>
              <w:t>开设</w:t>
            </w:r>
            <w:r>
              <w:rPr>
                <w:rFonts w:hint="eastAsia" w:ascii="宋体" w:hAnsi="宋体" w:cs="宋体"/>
                <w:kern w:val="0"/>
                <w:sz w:val="21"/>
                <w:szCs w:val="21"/>
              </w:rPr>
              <w:t>“聚焦杨凌”</w:t>
            </w:r>
            <w:r>
              <w:rPr>
                <w:rFonts w:ascii="宋体" w:hAnsi="宋体" w:cs="宋体"/>
                <w:kern w:val="0"/>
                <w:sz w:val="21"/>
                <w:szCs w:val="21"/>
              </w:rPr>
              <w:t>专题</w:t>
            </w:r>
            <w:r>
              <w:rPr>
                <w:rFonts w:hint="eastAsia" w:ascii="宋体" w:hAnsi="宋体" w:cs="宋体"/>
                <w:kern w:val="0"/>
                <w:sz w:val="21"/>
                <w:szCs w:val="21"/>
              </w:rPr>
              <w:t>不少于6期（</w:t>
            </w:r>
            <w:r>
              <w:rPr>
                <w:rFonts w:hint="eastAsia" w:ascii="宋体" w:hAnsi="宋体" w:cs="宋体"/>
                <w:kern w:val="0"/>
                <w:sz w:val="21"/>
                <w:szCs w:val="21"/>
                <w:lang w:val="en-US" w:eastAsia="zh-CN"/>
              </w:rPr>
              <w:t>7</w:t>
            </w:r>
            <w:r>
              <w:rPr>
                <w:rFonts w:hint="eastAsia" w:ascii="宋体" w:hAnsi="宋体" w:cs="宋体"/>
                <w:kern w:val="0"/>
                <w:sz w:val="21"/>
                <w:szCs w:val="21"/>
              </w:rPr>
              <w:t>分）；三是组织策划拍摄完成农业科教片5期（</w:t>
            </w:r>
            <w:r>
              <w:rPr>
                <w:rFonts w:hint="eastAsia" w:ascii="宋体" w:hAnsi="宋体" w:cs="宋体"/>
                <w:kern w:val="0"/>
                <w:sz w:val="21"/>
                <w:szCs w:val="21"/>
                <w:lang w:val="en-US" w:eastAsia="zh-CN"/>
              </w:rPr>
              <w:t>6</w:t>
            </w:r>
            <w:r>
              <w:rPr>
                <w:rFonts w:hint="eastAsia" w:ascii="宋体" w:hAnsi="宋体" w:cs="宋体"/>
                <w:kern w:val="0"/>
                <w:sz w:val="21"/>
                <w:szCs w:val="21"/>
              </w:rPr>
              <w:t>分）；四是在省级以上媒体发稿5篇（</w:t>
            </w:r>
            <w:r>
              <w:rPr>
                <w:rFonts w:hint="eastAsia" w:ascii="宋体" w:hAnsi="宋体" w:cs="宋体"/>
                <w:kern w:val="0"/>
                <w:sz w:val="21"/>
                <w:szCs w:val="21"/>
                <w:lang w:val="en-US" w:eastAsia="zh-CN"/>
              </w:rPr>
              <w:t>6</w:t>
            </w:r>
            <w:r>
              <w:rPr>
                <w:rFonts w:hint="eastAsia" w:ascii="宋体" w:hAnsi="宋体" w:cs="宋体"/>
                <w:kern w:val="0"/>
                <w:sz w:val="21"/>
                <w:szCs w:val="21"/>
              </w:rPr>
              <w:t>分）；</w:t>
            </w:r>
            <w:r>
              <w:rPr>
                <w:rFonts w:hint="eastAsia" w:ascii="宋体" w:hAnsi="宋体" w:cs="宋体"/>
                <w:kern w:val="0"/>
                <w:sz w:val="21"/>
                <w:szCs w:val="21"/>
                <w:lang w:val="en-US" w:eastAsia="zh-CN"/>
              </w:rPr>
              <w:t>五</w:t>
            </w:r>
            <w:r>
              <w:rPr>
                <w:rFonts w:hint="eastAsia" w:ascii="宋体" w:hAnsi="宋体" w:cs="宋体"/>
                <w:kern w:val="0"/>
                <w:sz w:val="21"/>
                <w:szCs w:val="21"/>
              </w:rPr>
              <w:t>是编发杨凌信息稿件18篇（</w:t>
            </w:r>
            <w:r>
              <w:rPr>
                <w:rFonts w:hint="eastAsia" w:ascii="宋体" w:hAnsi="宋体" w:cs="宋体"/>
                <w:kern w:val="0"/>
                <w:sz w:val="21"/>
                <w:szCs w:val="21"/>
                <w:lang w:val="en-US" w:eastAsia="zh-CN"/>
              </w:rPr>
              <w:t>6</w:t>
            </w:r>
            <w:r>
              <w:rPr>
                <w:rFonts w:hint="eastAsia" w:ascii="宋体" w:hAnsi="宋体" w:cs="宋体"/>
                <w:kern w:val="0"/>
                <w:sz w:val="21"/>
                <w:szCs w:val="21"/>
              </w:rPr>
              <w:t>分）；</w:t>
            </w:r>
            <w:r>
              <w:rPr>
                <w:rFonts w:hint="eastAsia" w:ascii="宋体" w:hAnsi="宋体" w:cs="宋体"/>
                <w:kern w:val="0"/>
                <w:sz w:val="21"/>
                <w:szCs w:val="21"/>
                <w:lang w:val="en-US" w:eastAsia="zh-CN"/>
              </w:rPr>
              <w:t>六</w:t>
            </w:r>
            <w:r>
              <w:rPr>
                <w:rFonts w:hint="eastAsia" w:ascii="宋体" w:hAnsi="宋体" w:cs="宋体"/>
                <w:kern w:val="0"/>
                <w:sz w:val="21"/>
                <w:szCs w:val="21"/>
              </w:rPr>
              <w:t>是编发第26届杨凌农高会报道不少于5篇（5分）。</w:t>
            </w:r>
          </w:p>
          <w:p>
            <w:pPr>
              <w:spacing w:line="280" w:lineRule="exact"/>
              <w:ind w:firstLine="422" w:firstLineChars="200"/>
              <w:rPr>
                <w:rFonts w:ascii="宋体" w:hAnsi="宋体" w:cs="宋体"/>
                <w:kern w:val="0"/>
                <w:sz w:val="21"/>
                <w:szCs w:val="21"/>
              </w:rPr>
            </w:pPr>
            <w:r>
              <w:rPr>
                <w:rFonts w:hint="eastAsia" w:ascii="宋体" w:hAnsi="宋体" w:cs="宋体"/>
                <w:b/>
                <w:bCs/>
                <w:kern w:val="0"/>
                <w:sz w:val="21"/>
                <w:szCs w:val="21"/>
              </w:rPr>
              <w:t>三季度（共3</w:t>
            </w:r>
            <w:r>
              <w:rPr>
                <w:rFonts w:hint="eastAsia" w:ascii="宋体" w:hAnsi="宋体" w:cs="宋体"/>
                <w:b/>
                <w:bCs/>
                <w:kern w:val="0"/>
                <w:sz w:val="21"/>
                <w:szCs w:val="21"/>
                <w:lang w:val="en-US" w:eastAsia="zh-CN"/>
              </w:rPr>
              <w:t>7</w:t>
            </w:r>
            <w:r>
              <w:rPr>
                <w:rFonts w:hint="eastAsia" w:ascii="宋体" w:hAnsi="宋体" w:cs="宋体"/>
                <w:b/>
                <w:bCs/>
                <w:kern w:val="0"/>
                <w:sz w:val="21"/>
                <w:szCs w:val="21"/>
              </w:rPr>
              <w:t>分）</w:t>
            </w:r>
            <w:r>
              <w:rPr>
                <w:rFonts w:hint="eastAsia" w:ascii="宋体" w:hAnsi="宋体" w:cs="宋体"/>
                <w:kern w:val="0"/>
                <w:sz w:val="21"/>
                <w:szCs w:val="21"/>
              </w:rPr>
              <w:t>：一是围绕新中国成立70周年，</w:t>
            </w:r>
            <w:r>
              <w:rPr>
                <w:rFonts w:hint="eastAsia" w:ascii="宋体" w:hAnsi="宋体" w:cs="仿宋"/>
                <w:sz w:val="21"/>
                <w:szCs w:val="21"/>
              </w:rPr>
              <w:t>在《农业科技报》和中国农科新闻网分别开设“庆祝新中国成立70周年·透过三农发展看变化”专栏、专题，充分</w:t>
            </w:r>
            <w:r>
              <w:rPr>
                <w:rFonts w:hint="eastAsia" w:ascii="宋体" w:hAnsi="宋体" w:cs="宋体"/>
                <w:kern w:val="0"/>
                <w:sz w:val="21"/>
                <w:szCs w:val="21"/>
              </w:rPr>
              <w:t>展示新中国成立70年来的发展成就和取得的巨大变化，采写编发主题稿件10篇（</w:t>
            </w:r>
            <w:r>
              <w:rPr>
                <w:rFonts w:hint="eastAsia" w:ascii="宋体" w:hAnsi="宋体" w:cs="宋体"/>
                <w:kern w:val="0"/>
                <w:sz w:val="21"/>
                <w:szCs w:val="21"/>
                <w:lang w:val="en-US" w:eastAsia="zh-CN"/>
              </w:rPr>
              <w:t>7</w:t>
            </w:r>
            <w:r>
              <w:rPr>
                <w:rFonts w:hint="eastAsia" w:ascii="宋体" w:hAnsi="宋体" w:cs="宋体"/>
                <w:kern w:val="0"/>
                <w:sz w:val="21"/>
                <w:szCs w:val="21"/>
              </w:rPr>
              <w:t>分）；二是围绕杨凌现代农业秋季游和农民丰收节活动，在《农业科技报》</w:t>
            </w:r>
            <w:r>
              <w:rPr>
                <w:rFonts w:hint="eastAsia" w:ascii="新宋体" w:hAnsi="新宋体" w:eastAsia="新宋体"/>
                <w:sz w:val="21"/>
                <w:szCs w:val="21"/>
              </w:rPr>
              <w:t>开设栏目，采写编发相关稿件6篇</w:t>
            </w:r>
            <w:r>
              <w:rPr>
                <w:rFonts w:hint="eastAsia" w:ascii="宋体" w:hAnsi="宋体" w:cs="宋体"/>
                <w:kern w:val="0"/>
                <w:sz w:val="21"/>
                <w:szCs w:val="21"/>
              </w:rPr>
              <w:t>（</w:t>
            </w:r>
            <w:r>
              <w:rPr>
                <w:rFonts w:hint="eastAsia" w:ascii="宋体" w:hAnsi="宋体" w:cs="宋体"/>
                <w:kern w:val="0"/>
                <w:sz w:val="21"/>
                <w:szCs w:val="21"/>
                <w:lang w:val="en-US" w:eastAsia="zh-CN"/>
              </w:rPr>
              <w:t>7</w:t>
            </w:r>
            <w:r>
              <w:rPr>
                <w:rFonts w:hint="eastAsia" w:ascii="宋体" w:hAnsi="宋体" w:cs="宋体"/>
                <w:kern w:val="0"/>
                <w:sz w:val="21"/>
                <w:szCs w:val="21"/>
              </w:rPr>
              <w:t>分）</w:t>
            </w:r>
            <w:r>
              <w:rPr>
                <w:rFonts w:hint="eastAsia" w:ascii="新宋体" w:hAnsi="新宋体" w:eastAsia="新宋体"/>
                <w:sz w:val="21"/>
                <w:szCs w:val="21"/>
              </w:rPr>
              <w:t>；</w:t>
            </w:r>
            <w:r>
              <w:rPr>
                <w:rFonts w:hint="eastAsia" w:ascii="宋体" w:hAnsi="宋体" w:cs="宋体"/>
                <w:kern w:val="0"/>
                <w:sz w:val="21"/>
                <w:szCs w:val="21"/>
              </w:rPr>
              <w:t>三是组织策划拍摄完成农业科教片5期在（</w:t>
            </w:r>
            <w:r>
              <w:rPr>
                <w:rFonts w:hint="eastAsia" w:ascii="宋体" w:hAnsi="宋体" w:cs="宋体"/>
                <w:kern w:val="0"/>
                <w:sz w:val="21"/>
                <w:szCs w:val="21"/>
                <w:lang w:val="en-US" w:eastAsia="zh-CN"/>
              </w:rPr>
              <w:t>6</w:t>
            </w:r>
            <w:r>
              <w:rPr>
                <w:rFonts w:hint="eastAsia" w:ascii="宋体" w:hAnsi="宋体" w:cs="宋体"/>
                <w:kern w:val="0"/>
                <w:sz w:val="21"/>
                <w:szCs w:val="21"/>
              </w:rPr>
              <w:t>分）；四是在省级以上媒体发稿4篇（</w:t>
            </w:r>
            <w:r>
              <w:rPr>
                <w:rFonts w:hint="eastAsia" w:ascii="宋体" w:hAnsi="宋体" w:cs="宋体"/>
                <w:kern w:val="0"/>
                <w:sz w:val="21"/>
                <w:szCs w:val="21"/>
                <w:lang w:val="en-US" w:eastAsia="zh-CN"/>
              </w:rPr>
              <w:t>6</w:t>
            </w:r>
            <w:r>
              <w:rPr>
                <w:rFonts w:hint="eastAsia" w:ascii="宋体" w:hAnsi="宋体" w:cs="宋体"/>
                <w:kern w:val="0"/>
                <w:sz w:val="21"/>
                <w:szCs w:val="21"/>
              </w:rPr>
              <w:t>分）；五是采写编发杨凌信息稿件18篇（</w:t>
            </w:r>
            <w:r>
              <w:rPr>
                <w:rFonts w:hint="eastAsia" w:ascii="宋体" w:hAnsi="宋体" w:cs="宋体"/>
                <w:kern w:val="0"/>
                <w:sz w:val="21"/>
                <w:szCs w:val="21"/>
                <w:lang w:val="en-US" w:eastAsia="zh-CN"/>
              </w:rPr>
              <w:t>6</w:t>
            </w:r>
            <w:r>
              <w:rPr>
                <w:rFonts w:hint="eastAsia" w:ascii="宋体" w:hAnsi="宋体" w:cs="宋体"/>
                <w:kern w:val="0"/>
                <w:sz w:val="21"/>
                <w:szCs w:val="21"/>
              </w:rPr>
              <w:t>分）；六是采写编发第26届杨凌农高会报道15篇（5分）。</w:t>
            </w:r>
          </w:p>
          <w:p>
            <w:pPr>
              <w:snapToGrid w:val="0"/>
              <w:spacing w:line="280" w:lineRule="exact"/>
              <w:ind w:firstLine="422" w:firstLineChars="200"/>
              <w:jc w:val="left"/>
              <w:rPr>
                <w:rFonts w:ascii="宋体" w:hAnsi="宋体" w:cs="宋体"/>
                <w:kern w:val="0"/>
                <w:sz w:val="21"/>
                <w:szCs w:val="21"/>
              </w:rPr>
            </w:pPr>
            <w:r>
              <w:rPr>
                <w:rFonts w:hint="eastAsia" w:ascii="宋体" w:hAnsi="宋体" w:cs="宋体"/>
                <w:b/>
                <w:bCs/>
                <w:kern w:val="0"/>
                <w:sz w:val="21"/>
                <w:szCs w:val="21"/>
              </w:rPr>
              <w:t>四季度（共3</w:t>
            </w:r>
            <w:r>
              <w:rPr>
                <w:rFonts w:hint="eastAsia" w:ascii="宋体" w:hAnsi="宋体" w:cs="宋体"/>
                <w:b/>
                <w:bCs/>
                <w:kern w:val="0"/>
                <w:sz w:val="21"/>
                <w:szCs w:val="21"/>
                <w:lang w:val="en-US" w:eastAsia="zh-CN"/>
              </w:rPr>
              <w:t>7</w:t>
            </w:r>
            <w:r>
              <w:rPr>
                <w:rFonts w:hint="eastAsia" w:ascii="宋体" w:hAnsi="宋体" w:cs="宋体"/>
                <w:b/>
                <w:bCs/>
                <w:kern w:val="0"/>
                <w:sz w:val="21"/>
                <w:szCs w:val="21"/>
              </w:rPr>
              <w:t>分）</w:t>
            </w:r>
            <w:r>
              <w:rPr>
                <w:rFonts w:hint="eastAsia" w:ascii="宋体" w:hAnsi="宋体" w:cs="宋体"/>
                <w:kern w:val="0"/>
                <w:sz w:val="21"/>
                <w:szCs w:val="21"/>
              </w:rPr>
              <w:t>：一是在《农业科技报》、中国农科新闻网开设专题、专栏，重点做好第26届杨凌农高会宣传报道，采写编发农高会报道不少于40篇（</w:t>
            </w:r>
            <w:r>
              <w:rPr>
                <w:rFonts w:hint="eastAsia" w:ascii="宋体" w:hAnsi="宋体" w:cs="宋体"/>
                <w:kern w:val="0"/>
                <w:sz w:val="21"/>
                <w:szCs w:val="21"/>
                <w:lang w:val="en-US" w:eastAsia="zh-CN"/>
              </w:rPr>
              <w:t>7</w:t>
            </w:r>
            <w:r>
              <w:rPr>
                <w:rFonts w:hint="eastAsia" w:ascii="宋体" w:hAnsi="宋体" w:cs="宋体"/>
                <w:kern w:val="0"/>
                <w:sz w:val="21"/>
                <w:szCs w:val="21"/>
              </w:rPr>
              <w:t>分）；二是做好新中国成立70周年重大活动、主题宣传报道，采写编发主题稿件10篇（</w:t>
            </w:r>
            <w:r>
              <w:rPr>
                <w:rFonts w:hint="eastAsia" w:ascii="宋体" w:hAnsi="宋体" w:cs="宋体"/>
                <w:kern w:val="0"/>
                <w:sz w:val="21"/>
                <w:szCs w:val="21"/>
                <w:lang w:val="en-US" w:eastAsia="zh-CN"/>
              </w:rPr>
              <w:t>4</w:t>
            </w:r>
            <w:r>
              <w:rPr>
                <w:rFonts w:hint="eastAsia" w:ascii="宋体" w:hAnsi="宋体" w:cs="宋体"/>
                <w:kern w:val="0"/>
                <w:sz w:val="21"/>
                <w:szCs w:val="21"/>
              </w:rPr>
              <w:t>分）；三是农业科技报社所属新媒体用户达到25万以上（</w:t>
            </w:r>
            <w:r>
              <w:rPr>
                <w:rFonts w:hint="eastAsia" w:ascii="宋体" w:hAnsi="宋体" w:cs="宋体"/>
                <w:kern w:val="0"/>
                <w:sz w:val="21"/>
                <w:szCs w:val="21"/>
                <w:lang w:val="en-US" w:eastAsia="zh-CN"/>
              </w:rPr>
              <w:t>8</w:t>
            </w:r>
            <w:r>
              <w:rPr>
                <w:rFonts w:hint="eastAsia" w:ascii="宋体" w:hAnsi="宋体" w:cs="宋体"/>
                <w:kern w:val="0"/>
                <w:sz w:val="21"/>
                <w:szCs w:val="21"/>
              </w:rPr>
              <w:t>分）；四是全年向科技部党员干部远程教育系统报送成片3部（</w:t>
            </w:r>
            <w:r>
              <w:rPr>
                <w:rFonts w:hint="eastAsia" w:ascii="宋体" w:hAnsi="宋体" w:cs="宋体"/>
                <w:kern w:val="0"/>
                <w:sz w:val="21"/>
                <w:szCs w:val="21"/>
                <w:lang w:val="en-US" w:eastAsia="zh-CN"/>
              </w:rPr>
              <w:t>5</w:t>
            </w:r>
            <w:r>
              <w:rPr>
                <w:rFonts w:hint="eastAsia" w:ascii="宋体" w:hAnsi="宋体" w:cs="宋体"/>
                <w:kern w:val="0"/>
                <w:sz w:val="21"/>
                <w:szCs w:val="21"/>
              </w:rPr>
              <w:t>分）；五是组织策划拍摄完成农业科教片3期（5分）；六是在省级以上媒体发稿5篇（4分）；七是编发杨凌信息稿件25篇（4分）。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8" w:hRule="atLeast"/>
          <w:jc w:val="center"/>
        </w:trPr>
        <w:tc>
          <w:tcPr>
            <w:tcW w:w="1586" w:type="dxa"/>
            <w:gridSpan w:val="2"/>
            <w:vAlign w:val="center"/>
          </w:tcPr>
          <w:p>
            <w:pPr>
              <w:snapToGrid w:val="0"/>
              <w:jc w:val="center"/>
              <w:rPr>
                <w:rFonts w:ascii="BatangChe" w:eastAsia="BatangChe"/>
                <w:b/>
                <w:bCs/>
                <w:sz w:val="21"/>
                <w:szCs w:val="21"/>
              </w:rPr>
            </w:pPr>
            <w:r>
              <w:rPr>
                <w:rFonts w:hint="eastAsia" w:ascii="BatangChe" w:hAnsi="BatangChe" w:cs="宋体"/>
                <w:b/>
                <w:bCs/>
                <w:sz w:val="21"/>
                <w:szCs w:val="21"/>
              </w:rPr>
              <w:t>争创一流工作成效（</w:t>
            </w:r>
            <w:r>
              <w:rPr>
                <w:rFonts w:ascii="BatangChe" w:hAnsi="BatangChe" w:cs="BatangChe"/>
                <w:b/>
                <w:bCs/>
                <w:sz w:val="21"/>
                <w:szCs w:val="21"/>
              </w:rPr>
              <w:t>5</w:t>
            </w:r>
            <w:r>
              <w:rPr>
                <w:rFonts w:hint="eastAsia" w:ascii="BatangChe" w:hAnsi="BatangChe" w:cs="宋体"/>
                <w:b/>
                <w:bCs/>
                <w:sz w:val="21"/>
                <w:szCs w:val="21"/>
              </w:rPr>
              <w:t>分）</w:t>
            </w:r>
          </w:p>
        </w:tc>
        <w:tc>
          <w:tcPr>
            <w:tcW w:w="7714" w:type="dxa"/>
            <w:vAlign w:val="center"/>
          </w:tcPr>
          <w:p>
            <w:pPr>
              <w:snapToGrid w:val="0"/>
              <w:spacing w:line="280" w:lineRule="exact"/>
              <w:ind w:firstLine="413" w:firstLineChars="196"/>
              <w:jc w:val="left"/>
              <w:rPr>
                <w:rFonts w:ascii="BatangChe"/>
                <w:sz w:val="21"/>
                <w:szCs w:val="21"/>
              </w:rPr>
            </w:pPr>
            <w:r>
              <w:rPr>
                <w:rFonts w:hint="eastAsia" w:ascii="BatangChe"/>
                <w:b/>
                <w:bCs/>
                <w:sz w:val="21"/>
                <w:szCs w:val="21"/>
                <w:lang w:val="en-US" w:eastAsia="zh-CN"/>
              </w:rPr>
              <w:t>1、</w:t>
            </w:r>
            <w:r>
              <w:rPr>
                <w:rFonts w:hint="eastAsia" w:ascii="BatangChe"/>
                <w:b/>
                <w:bCs/>
                <w:sz w:val="21"/>
                <w:szCs w:val="21"/>
              </w:rPr>
              <w:t>贯彻落实习总书记关于加快媒体融合发展讲话精神要求和示范区提质升级的要求，在争创全媒体时代涉农媒体融合上走在同行前列，争创一流业绩。</w:t>
            </w:r>
          </w:p>
          <w:p>
            <w:pPr>
              <w:snapToGrid w:val="0"/>
              <w:spacing w:line="280" w:lineRule="exact"/>
              <w:ind w:firstLine="310" w:firstLineChars="147"/>
              <w:jc w:val="left"/>
              <w:rPr>
                <w:rFonts w:ascii="BatangChe"/>
                <w:sz w:val="21"/>
                <w:szCs w:val="21"/>
              </w:rPr>
            </w:pPr>
            <w:r>
              <w:rPr>
                <w:rFonts w:hint="eastAsia" w:ascii="BatangChe"/>
                <w:b/>
                <w:bCs/>
                <w:sz w:val="21"/>
                <w:szCs w:val="21"/>
              </w:rPr>
              <w:t>第一季度：</w:t>
            </w:r>
            <w:r>
              <w:rPr>
                <w:rFonts w:hint="eastAsia" w:ascii="BatangChe"/>
                <w:sz w:val="21"/>
                <w:szCs w:val="21"/>
              </w:rPr>
              <w:t>配合示范区宣传部搞好杨凌融媒体试运行工作。</w:t>
            </w:r>
          </w:p>
          <w:p>
            <w:pPr>
              <w:snapToGrid w:val="0"/>
              <w:spacing w:line="280" w:lineRule="exact"/>
              <w:ind w:firstLine="310" w:firstLineChars="147"/>
              <w:jc w:val="left"/>
              <w:rPr>
                <w:rFonts w:ascii="BatangChe"/>
                <w:sz w:val="21"/>
                <w:szCs w:val="21"/>
              </w:rPr>
            </w:pPr>
            <w:r>
              <w:rPr>
                <w:rFonts w:hint="eastAsia" w:ascii="BatangChe"/>
                <w:b/>
                <w:bCs/>
                <w:sz w:val="21"/>
                <w:szCs w:val="21"/>
              </w:rPr>
              <w:t>第二季度：</w:t>
            </w:r>
            <w:r>
              <w:rPr>
                <w:rFonts w:hint="eastAsia" w:ascii="BatangChe"/>
                <w:sz w:val="21"/>
                <w:szCs w:val="21"/>
              </w:rPr>
              <w:t>建成宣传杨凌履行国家使命的新媒体宣传平台。</w:t>
            </w:r>
          </w:p>
          <w:p>
            <w:pPr>
              <w:snapToGrid w:val="0"/>
              <w:spacing w:line="280" w:lineRule="exact"/>
              <w:ind w:firstLine="310" w:firstLineChars="147"/>
              <w:jc w:val="left"/>
              <w:rPr>
                <w:rFonts w:ascii="BatangChe"/>
                <w:sz w:val="21"/>
                <w:szCs w:val="21"/>
              </w:rPr>
            </w:pPr>
            <w:r>
              <w:rPr>
                <w:rFonts w:hint="eastAsia" w:ascii="BatangChe"/>
                <w:b/>
                <w:bCs/>
                <w:sz w:val="21"/>
                <w:szCs w:val="21"/>
              </w:rPr>
              <w:t>第三季度：</w:t>
            </w:r>
            <w:r>
              <w:rPr>
                <w:rFonts w:hint="eastAsia" w:ascii="BatangChe"/>
                <w:sz w:val="21"/>
                <w:szCs w:val="21"/>
              </w:rPr>
              <w:t>建成全省技术先进、传播力强大的涉农新媒体集群。</w:t>
            </w:r>
          </w:p>
          <w:p>
            <w:pPr>
              <w:snapToGrid w:val="0"/>
              <w:spacing w:line="280" w:lineRule="exact"/>
              <w:ind w:firstLine="310" w:firstLineChars="147"/>
              <w:jc w:val="left"/>
              <w:rPr>
                <w:rFonts w:hint="eastAsia" w:ascii="BatangChe"/>
                <w:sz w:val="21"/>
                <w:szCs w:val="21"/>
              </w:rPr>
            </w:pPr>
            <w:r>
              <w:rPr>
                <w:rFonts w:hint="eastAsia" w:ascii="BatangChe"/>
                <w:b/>
                <w:bCs/>
                <w:sz w:val="21"/>
                <w:szCs w:val="21"/>
              </w:rPr>
              <w:t>第四季度：</w:t>
            </w:r>
            <w:r>
              <w:rPr>
                <w:rFonts w:hint="eastAsia" w:ascii="BatangChe"/>
                <w:sz w:val="21"/>
                <w:szCs w:val="21"/>
              </w:rPr>
              <w:t>建成全省首个覆盖</w:t>
            </w:r>
            <w:r>
              <w:rPr>
                <w:rFonts w:hint="eastAsia" w:ascii="BatangChe"/>
                <w:sz w:val="21"/>
                <w:szCs w:val="21"/>
                <w:lang w:val="en-US" w:eastAsia="zh-CN"/>
              </w:rPr>
              <w:t>干旱半干旱地区</w:t>
            </w:r>
            <w:r>
              <w:rPr>
                <w:rFonts w:hint="eastAsia" w:ascii="BatangChe"/>
                <w:sz w:val="21"/>
                <w:szCs w:val="21"/>
              </w:rPr>
              <w:t>的涉农传播新闻通讯员队伍。</w:t>
            </w:r>
          </w:p>
          <w:p>
            <w:pPr>
              <w:snapToGrid w:val="0"/>
              <w:spacing w:line="280" w:lineRule="exact"/>
              <w:ind w:firstLine="308" w:firstLineChars="147"/>
              <w:jc w:val="left"/>
              <w:rPr>
                <w:rFonts w:hint="default" w:ascii="BatangChe" w:eastAsia="宋体"/>
                <w:sz w:val="21"/>
                <w:szCs w:val="21"/>
                <w:lang w:val="en-US" w:eastAsia="zh-CN"/>
              </w:rPr>
            </w:pPr>
            <w:r>
              <w:rPr>
                <w:rFonts w:hint="eastAsia" w:ascii="BatangChe"/>
                <w:sz w:val="21"/>
                <w:szCs w:val="21"/>
                <w:lang w:val="en-US" w:eastAsia="zh-CN"/>
              </w:rPr>
              <w:t>2、</w:t>
            </w:r>
            <w:r>
              <w:rPr>
                <w:rFonts w:hint="eastAsia" w:ascii="BatangChe"/>
                <w:b/>
                <w:bCs/>
                <w:sz w:val="21"/>
                <w:szCs w:val="21"/>
                <w:lang w:val="en-US" w:eastAsia="zh-CN"/>
              </w:rPr>
              <w:t>巩固农业科技报社创建全国文明单位成果，做涉农媒体精神文明建设标兵，确保全国文明单位测评体系本年度得分90分以上。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 w:hRule="atLeast"/>
          <w:jc w:val="center"/>
        </w:trPr>
        <w:tc>
          <w:tcPr>
            <w:tcW w:w="1586" w:type="dxa"/>
            <w:gridSpan w:val="2"/>
            <w:vAlign w:val="center"/>
          </w:tcPr>
          <w:p>
            <w:pPr>
              <w:snapToGrid w:val="0"/>
              <w:jc w:val="center"/>
              <w:rPr>
                <w:rFonts w:ascii="BatangChe" w:eastAsia="BatangChe"/>
                <w:b/>
                <w:bCs/>
                <w:sz w:val="21"/>
                <w:szCs w:val="21"/>
              </w:rPr>
            </w:pPr>
            <w:r>
              <w:rPr>
                <w:rFonts w:hint="eastAsia" w:ascii="BatangChe" w:hAnsi="BatangChe" w:cs="宋体"/>
                <w:b/>
                <w:bCs/>
                <w:sz w:val="21"/>
                <w:szCs w:val="21"/>
              </w:rPr>
              <w:t>专项工作（实行扣分制考核）</w:t>
            </w:r>
          </w:p>
        </w:tc>
        <w:tc>
          <w:tcPr>
            <w:tcW w:w="7714" w:type="dxa"/>
            <w:vAlign w:val="center"/>
          </w:tcPr>
          <w:p>
            <w:pPr>
              <w:snapToGrid w:val="0"/>
              <w:spacing w:line="280" w:lineRule="exact"/>
              <w:jc w:val="left"/>
              <w:rPr>
                <w:rFonts w:ascii="BatangChe" w:eastAsia="BatangChe"/>
                <w:sz w:val="21"/>
                <w:szCs w:val="21"/>
              </w:rPr>
            </w:pPr>
            <w:r>
              <w:rPr>
                <w:rFonts w:hint="eastAsia" w:ascii="BatangChe"/>
                <w:sz w:val="21"/>
                <w:szCs w:val="21"/>
              </w:rPr>
              <w:t>政务公开、农高会筹备、信访工作、平安杨凌、保障农民工工资支付工作、安全生产等组成。</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1" w:hRule="atLeast"/>
          <w:jc w:val="center"/>
        </w:trPr>
        <w:tc>
          <w:tcPr>
            <w:tcW w:w="1586" w:type="dxa"/>
            <w:gridSpan w:val="2"/>
            <w:tcBorders>
              <w:bottom w:val="single" w:color="auto" w:sz="12" w:space="0"/>
            </w:tcBorders>
            <w:vAlign w:val="center"/>
          </w:tcPr>
          <w:p>
            <w:pPr>
              <w:snapToGrid w:val="0"/>
              <w:jc w:val="center"/>
              <w:rPr>
                <w:rFonts w:ascii="BatangChe" w:hAnsi="BatangChe" w:cs="宋体"/>
                <w:b/>
                <w:bCs/>
                <w:sz w:val="21"/>
                <w:szCs w:val="21"/>
              </w:rPr>
            </w:pPr>
            <w:r>
              <w:rPr>
                <w:rFonts w:hint="eastAsia" w:ascii="BatangChe" w:hAnsi="BatangChe" w:cs="宋体"/>
                <w:b/>
                <w:bCs/>
                <w:sz w:val="21"/>
                <w:szCs w:val="21"/>
              </w:rPr>
              <w:t>追加工作任务</w:t>
            </w:r>
          </w:p>
          <w:p>
            <w:pPr>
              <w:snapToGrid w:val="0"/>
              <w:jc w:val="center"/>
              <w:rPr>
                <w:rFonts w:ascii="BatangChe" w:eastAsia="BatangChe"/>
                <w:b/>
                <w:bCs/>
                <w:sz w:val="21"/>
                <w:szCs w:val="21"/>
              </w:rPr>
            </w:pPr>
            <w:r>
              <w:rPr>
                <w:rFonts w:hint="eastAsia" w:ascii="BatangChe" w:hAnsi="BatangChe" w:cs="宋体"/>
                <w:b/>
                <w:bCs/>
                <w:sz w:val="21"/>
                <w:szCs w:val="21"/>
              </w:rPr>
              <w:t>（</w:t>
            </w:r>
            <w:r>
              <w:rPr>
                <w:rFonts w:ascii="BatangChe" w:hAnsi="BatangChe" w:cs="BatangChe"/>
                <w:b/>
                <w:bCs/>
                <w:sz w:val="21"/>
                <w:szCs w:val="21"/>
              </w:rPr>
              <w:t>5</w:t>
            </w:r>
            <w:r>
              <w:rPr>
                <w:rFonts w:hint="eastAsia" w:ascii="BatangChe" w:hAnsi="BatangChe" w:cs="宋体"/>
                <w:b/>
                <w:bCs/>
                <w:sz w:val="21"/>
                <w:szCs w:val="21"/>
              </w:rPr>
              <w:t>分）</w:t>
            </w:r>
          </w:p>
        </w:tc>
        <w:tc>
          <w:tcPr>
            <w:tcW w:w="7714" w:type="dxa"/>
            <w:tcBorders>
              <w:bottom w:val="single" w:color="auto" w:sz="12" w:space="0"/>
            </w:tcBorders>
            <w:vAlign w:val="center"/>
          </w:tcPr>
          <w:p>
            <w:pPr>
              <w:snapToGrid w:val="0"/>
              <w:spacing w:line="280" w:lineRule="exact"/>
              <w:jc w:val="left"/>
              <w:rPr>
                <w:rFonts w:ascii="BatangChe" w:eastAsia="BatangChe"/>
                <w:sz w:val="21"/>
                <w:szCs w:val="21"/>
              </w:rPr>
            </w:pPr>
            <w:r>
              <w:rPr>
                <w:rFonts w:hint="eastAsia" w:ascii="BatangChe" w:hAnsi="BatangChe" w:cs="宋体"/>
                <w:sz w:val="21"/>
                <w:szCs w:val="21"/>
              </w:rPr>
              <w:t>本项目主要反映年度目标任务下达后，经党工委管委会研究同意追加的重点工作目标任务。</w:t>
            </w:r>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0008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6C99"/>
    <w:rsid w:val="000162A9"/>
    <w:rsid w:val="000C0461"/>
    <w:rsid w:val="00114485"/>
    <w:rsid w:val="00125C55"/>
    <w:rsid w:val="0015043E"/>
    <w:rsid w:val="001629B6"/>
    <w:rsid w:val="001D0282"/>
    <w:rsid w:val="001E6B48"/>
    <w:rsid w:val="001F50B9"/>
    <w:rsid w:val="00234F6D"/>
    <w:rsid w:val="002356C6"/>
    <w:rsid w:val="00273C72"/>
    <w:rsid w:val="002A010B"/>
    <w:rsid w:val="002E76E0"/>
    <w:rsid w:val="003301D0"/>
    <w:rsid w:val="003449B5"/>
    <w:rsid w:val="0036309C"/>
    <w:rsid w:val="00364E9A"/>
    <w:rsid w:val="003865C1"/>
    <w:rsid w:val="00386D1F"/>
    <w:rsid w:val="003A2E11"/>
    <w:rsid w:val="003B64B4"/>
    <w:rsid w:val="003E403C"/>
    <w:rsid w:val="00471F0A"/>
    <w:rsid w:val="004F3ACB"/>
    <w:rsid w:val="00502BA7"/>
    <w:rsid w:val="00503695"/>
    <w:rsid w:val="005332EB"/>
    <w:rsid w:val="005352F6"/>
    <w:rsid w:val="005717B8"/>
    <w:rsid w:val="00577F8F"/>
    <w:rsid w:val="005D4FE6"/>
    <w:rsid w:val="005E5277"/>
    <w:rsid w:val="005F3492"/>
    <w:rsid w:val="005F5F0B"/>
    <w:rsid w:val="006972B2"/>
    <w:rsid w:val="006A2FD6"/>
    <w:rsid w:val="00701E3C"/>
    <w:rsid w:val="00721077"/>
    <w:rsid w:val="00754F9E"/>
    <w:rsid w:val="00755DBD"/>
    <w:rsid w:val="00756E36"/>
    <w:rsid w:val="00795AA0"/>
    <w:rsid w:val="008031AB"/>
    <w:rsid w:val="008166FC"/>
    <w:rsid w:val="0084549B"/>
    <w:rsid w:val="008528A5"/>
    <w:rsid w:val="00890253"/>
    <w:rsid w:val="008911E8"/>
    <w:rsid w:val="00896F1C"/>
    <w:rsid w:val="008A6E14"/>
    <w:rsid w:val="008E442F"/>
    <w:rsid w:val="00913370"/>
    <w:rsid w:val="00974AE4"/>
    <w:rsid w:val="009767B1"/>
    <w:rsid w:val="009D73D5"/>
    <w:rsid w:val="00A86C53"/>
    <w:rsid w:val="00B02BCF"/>
    <w:rsid w:val="00B2117B"/>
    <w:rsid w:val="00B647F1"/>
    <w:rsid w:val="00BB14DB"/>
    <w:rsid w:val="00BC4290"/>
    <w:rsid w:val="00C00B77"/>
    <w:rsid w:val="00C81D0E"/>
    <w:rsid w:val="00CA5DC2"/>
    <w:rsid w:val="00CD7275"/>
    <w:rsid w:val="00CE53CA"/>
    <w:rsid w:val="00D24363"/>
    <w:rsid w:val="00D35714"/>
    <w:rsid w:val="00D80662"/>
    <w:rsid w:val="00DB5952"/>
    <w:rsid w:val="00DB59D8"/>
    <w:rsid w:val="00DD337C"/>
    <w:rsid w:val="00DF506E"/>
    <w:rsid w:val="00DF5CD9"/>
    <w:rsid w:val="00DF5F94"/>
    <w:rsid w:val="00E035AB"/>
    <w:rsid w:val="00E20126"/>
    <w:rsid w:val="00EC7996"/>
    <w:rsid w:val="00F0233C"/>
    <w:rsid w:val="00F16CD9"/>
    <w:rsid w:val="00FB6B33"/>
    <w:rsid w:val="00FD115E"/>
    <w:rsid w:val="00FF0B8C"/>
    <w:rsid w:val="00FF3D51"/>
    <w:rsid w:val="142B6C99"/>
    <w:rsid w:val="28CD44BD"/>
    <w:rsid w:val="29B57E20"/>
    <w:rsid w:val="40836712"/>
    <w:rsid w:val="41D853D0"/>
    <w:rsid w:val="49731C6C"/>
    <w:rsid w:val="50317ED4"/>
    <w:rsid w:val="51BB3623"/>
    <w:rsid w:val="5ABB732E"/>
    <w:rsid w:val="70E4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Words>
  <Characters>1938</Characters>
  <Lines>16</Lines>
  <Paragraphs>4</Paragraphs>
  <TotalTime>231</TotalTime>
  <ScaleCrop>false</ScaleCrop>
  <LinksUpToDate>false</LinksUpToDate>
  <CharactersWithSpaces>2273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2019-03-26T03:59:00Z</dcterms:created>
  <dc:creator>太子</dc:creator>
  <cp:lastModifiedBy>xu</cp:lastModifiedBy>
  <cp:lastPrinted>2019-03-28T10:34:00Z</cp:lastPrinted>
  <dcterms:modified xsi:type="dcterms:W3CDTF">2019-07-19T07:52:55Z</dcterms:modified>
  <cp:revision>662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